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C3" w:rsidRPr="00FF4561" w:rsidRDefault="003B5732">
      <w:pPr>
        <w:jc w:val="center"/>
        <w:rPr>
          <w:b/>
          <w:sz w:val="30"/>
          <w:szCs w:val="30"/>
        </w:rPr>
      </w:pPr>
      <w:r w:rsidRPr="003B5732">
        <w:rPr>
          <w:rFonts w:hint="eastAsia"/>
          <w:b/>
          <w:sz w:val="30"/>
          <w:szCs w:val="30"/>
        </w:rPr>
        <w:t>“‘一带一路’视域下的中东研究”学术研讨会</w:t>
      </w:r>
      <w:bookmarkStart w:id="0" w:name="_GoBack"/>
      <w:bookmarkEnd w:id="0"/>
      <w:r w:rsidR="00223DDB" w:rsidRPr="00FF4561">
        <w:rPr>
          <w:rFonts w:hint="eastAsia"/>
          <w:b/>
          <w:sz w:val="30"/>
          <w:szCs w:val="30"/>
        </w:rPr>
        <w:t>议程（</w:t>
      </w:r>
      <w:r w:rsidR="0095633E" w:rsidRPr="00FF4561">
        <w:rPr>
          <w:rFonts w:hint="eastAsia"/>
          <w:b/>
          <w:sz w:val="30"/>
          <w:szCs w:val="30"/>
        </w:rPr>
        <w:t>4</w:t>
      </w:r>
      <w:r w:rsidR="00223DDB" w:rsidRPr="00FF4561">
        <w:rPr>
          <w:rFonts w:hint="eastAsia"/>
          <w:b/>
          <w:sz w:val="30"/>
          <w:szCs w:val="30"/>
        </w:rPr>
        <w:t>月</w:t>
      </w:r>
      <w:r w:rsidR="0095633E" w:rsidRPr="00FF4561">
        <w:rPr>
          <w:rFonts w:hint="eastAsia"/>
          <w:b/>
          <w:sz w:val="30"/>
          <w:szCs w:val="30"/>
        </w:rPr>
        <w:t>8</w:t>
      </w:r>
      <w:r w:rsidR="00223DDB" w:rsidRPr="00FF4561">
        <w:rPr>
          <w:rFonts w:hint="eastAsia"/>
          <w:b/>
          <w:sz w:val="30"/>
          <w:szCs w:val="30"/>
        </w:rPr>
        <w:t>日）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6"/>
        <w:gridCol w:w="1282"/>
        <w:gridCol w:w="992"/>
        <w:gridCol w:w="5463"/>
      </w:tblGrid>
      <w:tr w:rsidR="006A53C3" w:rsidTr="00B57163">
        <w:trPr>
          <w:jc w:val="center"/>
        </w:trPr>
        <w:tc>
          <w:tcPr>
            <w:tcW w:w="846" w:type="dxa"/>
            <w:vAlign w:val="center"/>
          </w:tcPr>
          <w:p w:rsidR="006A53C3" w:rsidRDefault="00FE20D1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856" w:type="dxa"/>
            <w:vAlign w:val="center"/>
          </w:tcPr>
          <w:p w:rsidR="006A53C3" w:rsidRDefault="00223DDB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时段</w:t>
            </w:r>
          </w:p>
          <w:p w:rsidR="006A53C3" w:rsidRDefault="00223DDB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议题</w:t>
            </w:r>
          </w:p>
        </w:tc>
        <w:tc>
          <w:tcPr>
            <w:tcW w:w="1282" w:type="dxa"/>
            <w:vAlign w:val="center"/>
          </w:tcPr>
          <w:p w:rsidR="006A53C3" w:rsidRDefault="00223DDB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主持人</w:t>
            </w:r>
          </w:p>
          <w:p w:rsidR="006A53C3" w:rsidRDefault="00223DDB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评议人</w:t>
            </w:r>
          </w:p>
        </w:tc>
        <w:tc>
          <w:tcPr>
            <w:tcW w:w="992" w:type="dxa"/>
            <w:vAlign w:val="center"/>
          </w:tcPr>
          <w:p w:rsidR="006A53C3" w:rsidRDefault="00223DDB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发言人</w:t>
            </w:r>
          </w:p>
        </w:tc>
        <w:tc>
          <w:tcPr>
            <w:tcW w:w="5463" w:type="dxa"/>
            <w:vAlign w:val="center"/>
          </w:tcPr>
          <w:p w:rsidR="006A53C3" w:rsidRDefault="00223DDB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发言题目</w:t>
            </w:r>
          </w:p>
        </w:tc>
      </w:tr>
      <w:tr w:rsidR="0059335C" w:rsidTr="007B6920">
        <w:trPr>
          <w:cantSplit/>
          <w:trHeight w:val="282"/>
          <w:jc w:val="center"/>
        </w:trPr>
        <w:tc>
          <w:tcPr>
            <w:tcW w:w="846" w:type="dxa"/>
            <w:vMerge w:val="restart"/>
            <w:vAlign w:val="center"/>
          </w:tcPr>
          <w:p w:rsidR="0059335C" w:rsidRDefault="0059335C" w:rsidP="00B900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09:00—</w:t>
            </w:r>
          </w:p>
          <w:p w:rsidR="0059335C" w:rsidRDefault="0059335C" w:rsidP="00B900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</w:t>
            </w:r>
          </w:p>
        </w:tc>
        <w:tc>
          <w:tcPr>
            <w:tcW w:w="856" w:type="dxa"/>
            <w:vMerge w:val="restart"/>
            <w:vAlign w:val="center"/>
          </w:tcPr>
          <w:p w:rsidR="0059335C" w:rsidRDefault="0059335C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59335C" w:rsidRDefault="0059335C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主</w:t>
            </w:r>
          </w:p>
          <w:p w:rsidR="0059335C" w:rsidRDefault="0059335C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题</w:t>
            </w:r>
          </w:p>
          <w:p w:rsidR="0059335C" w:rsidRDefault="0059335C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发</w:t>
            </w:r>
          </w:p>
          <w:p w:rsidR="0059335C" w:rsidRDefault="0059335C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言</w:t>
            </w:r>
          </w:p>
        </w:tc>
        <w:tc>
          <w:tcPr>
            <w:tcW w:w="1282" w:type="dxa"/>
            <w:vMerge w:val="restart"/>
            <w:shd w:val="clear" w:color="auto" w:fill="FFFFFF" w:themeFill="background1"/>
            <w:vAlign w:val="center"/>
          </w:tcPr>
          <w:p w:rsidR="0059335C" w:rsidRDefault="001A1C3F" w:rsidP="00313C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何志龙</w:t>
            </w:r>
          </w:p>
          <w:p w:rsidR="0059335C" w:rsidRDefault="0059335C" w:rsidP="00313C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(主持)</w:t>
            </w:r>
          </w:p>
          <w:p w:rsidR="0059335C" w:rsidRDefault="0059335C" w:rsidP="00313C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20分钟/</w:t>
            </w:r>
            <w:r w:rsidRPr="00F55AA2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59335C" w:rsidRPr="000410CD" w:rsidRDefault="0059335C">
            <w:pPr>
              <w:rPr>
                <w:rFonts w:ascii="宋体" w:hAnsi="宋体" w:cs="宋体"/>
                <w:sz w:val="18"/>
                <w:szCs w:val="18"/>
              </w:rPr>
            </w:pPr>
            <w:r w:rsidRPr="000410CD">
              <w:rPr>
                <w:rFonts w:ascii="宋体" w:hAnsi="宋体" w:cs="宋体"/>
                <w:sz w:val="18"/>
                <w:szCs w:val="18"/>
              </w:rPr>
              <w:t>Timothy Niblock</w:t>
            </w:r>
          </w:p>
        </w:tc>
        <w:tc>
          <w:tcPr>
            <w:tcW w:w="5463" w:type="dxa"/>
            <w:vAlign w:val="center"/>
          </w:tcPr>
          <w:p w:rsidR="0059335C" w:rsidRDefault="0059335C" w:rsidP="00F55AA2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</w:rPr>
              <w:t>1.</w:t>
            </w:r>
            <w:r w:rsidR="00B05A29">
              <w:rPr>
                <w:rFonts w:ascii="宋体" w:hAnsi="宋体" w:cs="宋体"/>
              </w:rPr>
              <w:t>E</w:t>
            </w:r>
            <w:r w:rsidR="00B05A29">
              <w:rPr>
                <w:rFonts w:ascii="宋体" w:hAnsi="宋体" w:cs="宋体" w:hint="eastAsia"/>
              </w:rPr>
              <w:t>x</w:t>
            </w:r>
            <w:r w:rsidR="00B05A29">
              <w:rPr>
                <w:rFonts w:ascii="宋体" w:hAnsi="宋体" w:cs="宋体"/>
              </w:rPr>
              <w:t>plaining the current conflicts in Gulf</w:t>
            </w:r>
          </w:p>
        </w:tc>
      </w:tr>
      <w:tr w:rsidR="0059335C" w:rsidTr="00B57163">
        <w:trPr>
          <w:cantSplit/>
          <w:trHeight w:val="400"/>
          <w:jc w:val="center"/>
        </w:trPr>
        <w:tc>
          <w:tcPr>
            <w:tcW w:w="846" w:type="dxa"/>
            <w:vMerge/>
            <w:vAlign w:val="center"/>
          </w:tcPr>
          <w:p w:rsidR="0059335C" w:rsidRDefault="005933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59335C" w:rsidRDefault="005933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shd w:val="clear" w:color="auto" w:fill="FFFFFF" w:themeFill="background1"/>
            <w:vAlign w:val="center"/>
          </w:tcPr>
          <w:p w:rsidR="0059335C" w:rsidRDefault="005933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335C" w:rsidRDefault="0059335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黄民兴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59335C" w:rsidRDefault="0059335C" w:rsidP="00F55AA2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2.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世纪以来中东格局的演变及其地区影响</w:t>
            </w:r>
          </w:p>
        </w:tc>
      </w:tr>
      <w:tr w:rsidR="0059335C" w:rsidTr="00B57163">
        <w:trPr>
          <w:cantSplit/>
          <w:trHeight w:val="408"/>
          <w:jc w:val="center"/>
        </w:trPr>
        <w:tc>
          <w:tcPr>
            <w:tcW w:w="846" w:type="dxa"/>
            <w:vMerge/>
            <w:vAlign w:val="center"/>
          </w:tcPr>
          <w:p w:rsidR="0059335C" w:rsidRDefault="0059335C" w:rsidP="00B775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59335C" w:rsidRDefault="0059335C" w:rsidP="00B775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shd w:val="clear" w:color="auto" w:fill="FFFFFF" w:themeFill="background1"/>
            <w:vAlign w:val="center"/>
          </w:tcPr>
          <w:p w:rsidR="0059335C" w:rsidRDefault="0059335C" w:rsidP="00B775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335C" w:rsidRDefault="0059335C" w:rsidP="00B775EB">
            <w:pPr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车效梅</w:t>
            </w:r>
          </w:p>
        </w:tc>
        <w:tc>
          <w:tcPr>
            <w:tcW w:w="5463" w:type="dxa"/>
            <w:vAlign w:val="center"/>
          </w:tcPr>
          <w:p w:rsidR="0059335C" w:rsidRDefault="0059335C" w:rsidP="00B775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3.</w:t>
            </w:r>
            <w:r w:rsidRPr="00374AD2">
              <w:rPr>
                <w:rFonts w:ascii="宋体" w:hAnsi="宋体" w:cs="仿宋_GB2312" w:hint="eastAsia"/>
                <w:sz w:val="21"/>
                <w:szCs w:val="21"/>
              </w:rPr>
              <w:t>丝绸之路上的霍尔姆斯</w:t>
            </w:r>
          </w:p>
        </w:tc>
      </w:tr>
      <w:tr w:rsidR="0059335C" w:rsidTr="00B57163">
        <w:trPr>
          <w:cantSplit/>
          <w:trHeight w:val="344"/>
          <w:jc w:val="center"/>
        </w:trPr>
        <w:tc>
          <w:tcPr>
            <w:tcW w:w="846" w:type="dxa"/>
            <w:vMerge/>
            <w:vAlign w:val="center"/>
          </w:tcPr>
          <w:p w:rsidR="0059335C" w:rsidRDefault="0059335C" w:rsidP="00B775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59335C" w:rsidRDefault="0059335C" w:rsidP="00B775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shd w:val="clear" w:color="auto" w:fill="FFFFFF" w:themeFill="background1"/>
            <w:vAlign w:val="center"/>
          </w:tcPr>
          <w:p w:rsidR="0059335C" w:rsidRDefault="0059335C" w:rsidP="00B775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335C" w:rsidRDefault="0059335C" w:rsidP="00B775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王三义</w:t>
            </w:r>
          </w:p>
        </w:tc>
        <w:tc>
          <w:tcPr>
            <w:tcW w:w="5463" w:type="dxa"/>
            <w:vAlign w:val="center"/>
          </w:tcPr>
          <w:p w:rsidR="0059335C" w:rsidRDefault="0059335C" w:rsidP="00B775EB">
            <w:pPr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t>4.</w:t>
            </w:r>
            <w:r w:rsidRPr="00083DC8">
              <w:rPr>
                <w:rFonts w:ascii="宋体" w:hAnsi="宋体" w:cs="仿宋_GB2312" w:hint="eastAsia"/>
                <w:sz w:val="21"/>
                <w:szCs w:val="21"/>
              </w:rPr>
              <w:t>从帝制到共和：关于“土耳其道路”的若干细节问题</w:t>
            </w:r>
          </w:p>
        </w:tc>
      </w:tr>
      <w:tr w:rsidR="0059335C" w:rsidTr="00B57163">
        <w:trPr>
          <w:cantSplit/>
          <w:trHeight w:val="264"/>
          <w:jc w:val="center"/>
        </w:trPr>
        <w:tc>
          <w:tcPr>
            <w:tcW w:w="846" w:type="dxa"/>
            <w:vMerge/>
            <w:vAlign w:val="center"/>
          </w:tcPr>
          <w:p w:rsidR="0059335C" w:rsidRDefault="0059335C" w:rsidP="0008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59335C" w:rsidRDefault="0059335C" w:rsidP="0008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shd w:val="clear" w:color="auto" w:fill="FFFFFF" w:themeFill="background1"/>
            <w:vAlign w:val="center"/>
          </w:tcPr>
          <w:p w:rsidR="0059335C" w:rsidRDefault="0059335C" w:rsidP="0008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335C" w:rsidRPr="0039243A" w:rsidRDefault="0039243A" w:rsidP="00083DC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李秉忠</w:t>
            </w:r>
          </w:p>
        </w:tc>
        <w:tc>
          <w:tcPr>
            <w:tcW w:w="5463" w:type="dxa"/>
            <w:vAlign w:val="center"/>
          </w:tcPr>
          <w:p w:rsidR="0059335C" w:rsidRDefault="0059335C" w:rsidP="00083DC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5.</w:t>
            </w:r>
            <w:r w:rsidR="0039243A">
              <w:rPr>
                <w:rFonts w:ascii="宋体" w:hAnsi="宋体" w:hint="eastAsia"/>
                <w:sz w:val="21"/>
                <w:szCs w:val="21"/>
              </w:rPr>
              <w:t>埃尔多安时代土耳其外交的调整及其限度</w:t>
            </w:r>
          </w:p>
        </w:tc>
      </w:tr>
      <w:tr w:rsidR="0059335C" w:rsidTr="00B57163">
        <w:trPr>
          <w:cantSplit/>
          <w:trHeight w:val="270"/>
          <w:jc w:val="center"/>
        </w:trPr>
        <w:tc>
          <w:tcPr>
            <w:tcW w:w="846" w:type="dxa"/>
            <w:vMerge/>
            <w:vAlign w:val="center"/>
          </w:tcPr>
          <w:p w:rsidR="0059335C" w:rsidRDefault="0059335C" w:rsidP="0008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59335C" w:rsidRDefault="0059335C" w:rsidP="0008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shd w:val="clear" w:color="auto" w:fill="FFFFFF" w:themeFill="background1"/>
            <w:vAlign w:val="center"/>
          </w:tcPr>
          <w:p w:rsidR="0059335C" w:rsidRDefault="0059335C" w:rsidP="0008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335C" w:rsidRDefault="0039243A" w:rsidP="00083DC8">
            <w:pPr>
              <w:rPr>
                <w:rFonts w:ascii="宋体" w:hAnsi="宋体"/>
                <w:sz w:val="21"/>
                <w:szCs w:val="21"/>
              </w:rPr>
            </w:pPr>
            <w:r w:rsidRPr="001E6690">
              <w:rPr>
                <w:rFonts w:ascii="宋体" w:hAnsi="宋体"/>
                <w:sz w:val="21"/>
                <w:szCs w:val="21"/>
              </w:rPr>
              <w:t>Seevan Saeed</w:t>
            </w:r>
          </w:p>
        </w:tc>
        <w:tc>
          <w:tcPr>
            <w:tcW w:w="5463" w:type="dxa"/>
            <w:vAlign w:val="center"/>
          </w:tcPr>
          <w:p w:rsidR="0059335C" w:rsidRDefault="0059335C" w:rsidP="0039243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6.</w:t>
            </w:r>
            <w:r w:rsidR="000223CE" w:rsidRPr="001E6690">
              <w:rPr>
                <w:rFonts w:ascii="宋体" w:hAnsi="宋体"/>
                <w:sz w:val="21"/>
                <w:szCs w:val="21"/>
              </w:rPr>
              <w:t>Independence and Sovereignty</w:t>
            </w:r>
            <w:r w:rsidR="000223CE">
              <w:rPr>
                <w:rFonts w:ascii="宋体" w:hAnsi="宋体"/>
                <w:sz w:val="21"/>
                <w:szCs w:val="21"/>
              </w:rPr>
              <w:t xml:space="preserve"> - State and Non-state Actors: </w:t>
            </w:r>
            <w:r w:rsidR="000223CE" w:rsidRPr="001E6690">
              <w:rPr>
                <w:rFonts w:ascii="宋体" w:hAnsi="宋体"/>
                <w:sz w:val="21"/>
                <w:szCs w:val="21"/>
              </w:rPr>
              <w:t>The Case of Syria</w:t>
            </w:r>
          </w:p>
        </w:tc>
      </w:tr>
      <w:tr w:rsidR="0059335C" w:rsidTr="00B57163">
        <w:trPr>
          <w:cantSplit/>
          <w:trHeight w:val="270"/>
          <w:jc w:val="center"/>
        </w:trPr>
        <w:tc>
          <w:tcPr>
            <w:tcW w:w="846" w:type="dxa"/>
            <w:vMerge/>
            <w:vAlign w:val="center"/>
          </w:tcPr>
          <w:p w:rsidR="0059335C" w:rsidRDefault="0059335C" w:rsidP="0008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59335C" w:rsidRDefault="0059335C" w:rsidP="0008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shd w:val="clear" w:color="auto" w:fill="FFFFFF" w:themeFill="background1"/>
            <w:vAlign w:val="center"/>
          </w:tcPr>
          <w:p w:rsidR="0059335C" w:rsidRDefault="0059335C" w:rsidP="0008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335C" w:rsidRPr="000223CE" w:rsidRDefault="000223CE" w:rsidP="001E6690">
            <w:pPr>
              <w:rPr>
                <w:rFonts w:ascii="宋体" w:hAnsi="宋体"/>
                <w:sz w:val="21"/>
                <w:szCs w:val="21"/>
              </w:rPr>
            </w:pPr>
            <w:r w:rsidRPr="000223CE">
              <w:rPr>
                <w:rFonts w:ascii="宋体" w:hAnsi="宋体" w:hint="eastAsia"/>
                <w:sz w:val="21"/>
                <w:szCs w:val="21"/>
              </w:rPr>
              <w:t>何志龙</w:t>
            </w:r>
          </w:p>
        </w:tc>
        <w:tc>
          <w:tcPr>
            <w:tcW w:w="5463" w:type="dxa"/>
            <w:vAlign w:val="center"/>
          </w:tcPr>
          <w:p w:rsidR="0059335C" w:rsidRPr="000223CE" w:rsidRDefault="0059335C" w:rsidP="000223CE">
            <w:pPr>
              <w:rPr>
                <w:rFonts w:ascii="宋体" w:hAnsi="宋体"/>
                <w:sz w:val="21"/>
                <w:szCs w:val="21"/>
              </w:rPr>
            </w:pPr>
            <w:r w:rsidRPr="000223CE">
              <w:rPr>
                <w:rFonts w:ascii="宋体" w:hAnsi="宋体"/>
                <w:sz w:val="21"/>
                <w:szCs w:val="21"/>
              </w:rPr>
              <w:t>7.</w:t>
            </w:r>
            <w:r w:rsidR="000223CE" w:rsidRPr="000223CE">
              <w:rPr>
                <w:rFonts w:hint="eastAsia"/>
                <w:sz w:val="21"/>
                <w:szCs w:val="21"/>
              </w:rPr>
              <w:t>中东民族国家构建研究的</w:t>
            </w:r>
            <w:r w:rsidR="009871D1">
              <w:rPr>
                <w:rFonts w:hint="eastAsia"/>
                <w:sz w:val="21"/>
                <w:szCs w:val="21"/>
              </w:rPr>
              <w:t>学术理路</w:t>
            </w:r>
          </w:p>
        </w:tc>
      </w:tr>
      <w:tr w:rsidR="00715D54" w:rsidTr="00B57163">
        <w:trPr>
          <w:cantSplit/>
          <w:trHeight w:val="272"/>
          <w:jc w:val="center"/>
        </w:trPr>
        <w:tc>
          <w:tcPr>
            <w:tcW w:w="846" w:type="dxa"/>
            <w:vMerge w:val="restart"/>
            <w:vAlign w:val="center"/>
          </w:tcPr>
          <w:p w:rsidR="00715D54" w:rsidRDefault="00715D54" w:rsidP="00083D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14:00—1</w:t>
            </w:r>
            <w:r>
              <w:rPr>
                <w:rFonts w:ascii="宋体" w:hAnsi="宋体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6" w:type="dxa"/>
            <w:vMerge w:val="restart"/>
            <w:vAlign w:val="center"/>
          </w:tcPr>
          <w:p w:rsidR="00B57163" w:rsidRPr="00130B13" w:rsidRDefault="00715D54" w:rsidP="00083DC8">
            <w:pPr>
              <w:rPr>
                <w:rFonts w:ascii="宋体" w:hAnsi="宋体"/>
                <w:sz w:val="21"/>
                <w:szCs w:val="21"/>
              </w:rPr>
            </w:pPr>
            <w:r w:rsidRPr="00130B13">
              <w:rPr>
                <w:rFonts w:ascii="宋体" w:hAnsi="宋体" w:hint="eastAsia"/>
                <w:sz w:val="21"/>
                <w:szCs w:val="21"/>
              </w:rPr>
              <w:t>中东政治与国际关系</w:t>
            </w:r>
          </w:p>
          <w:p w:rsidR="00B57163" w:rsidRDefault="00B57163" w:rsidP="00083DC8">
            <w:pPr>
              <w:rPr>
                <w:rFonts w:ascii="宋体" w:hAnsi="宋体"/>
                <w:sz w:val="21"/>
                <w:szCs w:val="21"/>
              </w:rPr>
            </w:pPr>
          </w:p>
          <w:p w:rsidR="001666AE" w:rsidRDefault="001666AE" w:rsidP="00083DC8">
            <w:pPr>
              <w:rPr>
                <w:rFonts w:ascii="宋体" w:hAnsi="宋体"/>
                <w:sz w:val="21"/>
                <w:szCs w:val="21"/>
              </w:rPr>
            </w:pPr>
          </w:p>
          <w:p w:rsidR="001666AE" w:rsidRPr="00130B13" w:rsidRDefault="001666AE" w:rsidP="00083DC8">
            <w:pPr>
              <w:rPr>
                <w:rFonts w:ascii="宋体" w:hAnsi="宋体"/>
                <w:sz w:val="21"/>
                <w:szCs w:val="21"/>
              </w:rPr>
            </w:pPr>
          </w:p>
          <w:p w:rsidR="00715D54" w:rsidRPr="00B57163" w:rsidRDefault="00FE20D1" w:rsidP="00083DC8">
            <w:pPr>
              <w:rPr>
                <w:rFonts w:ascii="宋体" w:hAnsi="宋体"/>
                <w:sz w:val="21"/>
                <w:szCs w:val="21"/>
              </w:rPr>
            </w:pPr>
            <w:r w:rsidRPr="00B57163">
              <w:rPr>
                <w:rFonts w:ascii="宋体" w:hAnsi="宋体" w:hint="eastAsia"/>
                <w:sz w:val="21"/>
                <w:szCs w:val="21"/>
              </w:rPr>
              <w:t>启夏苑二层多功能厅</w:t>
            </w:r>
          </w:p>
          <w:p w:rsidR="00715D54" w:rsidRPr="00B57163" w:rsidRDefault="00715D54" w:rsidP="00083DC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715D54" w:rsidRPr="003F1C2C" w:rsidRDefault="00246EC5" w:rsidP="00246E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刘维广</w:t>
            </w:r>
          </w:p>
          <w:p w:rsidR="00715D54" w:rsidRPr="003F1C2C" w:rsidRDefault="00715D54" w:rsidP="0082786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F1C2C">
              <w:rPr>
                <w:rFonts w:ascii="宋体" w:hAnsi="宋体" w:hint="eastAsia"/>
                <w:sz w:val="21"/>
                <w:szCs w:val="21"/>
              </w:rPr>
              <w:t>(主持)</w:t>
            </w:r>
          </w:p>
          <w:p w:rsidR="00715D54" w:rsidRPr="003F1C2C" w:rsidRDefault="00715D54" w:rsidP="0082786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B2771" w:rsidRDefault="00715D54" w:rsidP="00AB277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F1C2C">
              <w:rPr>
                <w:rFonts w:ascii="宋体" w:hAnsi="宋体" w:hint="eastAsia"/>
                <w:sz w:val="21"/>
                <w:szCs w:val="21"/>
              </w:rPr>
              <w:t>王</w:t>
            </w:r>
            <w:r w:rsidR="005701B9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3F1C2C">
              <w:rPr>
                <w:rFonts w:ascii="宋体" w:hAnsi="宋体" w:hint="eastAsia"/>
                <w:sz w:val="21"/>
                <w:szCs w:val="21"/>
              </w:rPr>
              <w:t>猛</w:t>
            </w:r>
          </w:p>
          <w:p w:rsidR="00715D54" w:rsidRPr="003F1C2C" w:rsidRDefault="00246EC5" w:rsidP="00AB27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宋永成</w:t>
            </w:r>
          </w:p>
          <w:p w:rsidR="00715D54" w:rsidRPr="003F1C2C" w:rsidRDefault="00715D54" w:rsidP="0082786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F1C2C">
              <w:rPr>
                <w:rFonts w:ascii="宋体" w:hAnsi="宋体" w:hint="eastAsia"/>
                <w:sz w:val="21"/>
                <w:szCs w:val="21"/>
              </w:rPr>
              <w:t>(评议)</w:t>
            </w:r>
          </w:p>
          <w:p w:rsidR="00715D54" w:rsidRPr="00B57163" w:rsidRDefault="00715D54" w:rsidP="00827865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F1C2C">
              <w:rPr>
                <w:rFonts w:ascii="宋体" w:hAnsi="宋体" w:hint="eastAsia"/>
                <w:sz w:val="21"/>
                <w:szCs w:val="21"/>
              </w:rPr>
              <w:t>15分钟/人（含评议）</w:t>
            </w:r>
          </w:p>
        </w:tc>
        <w:tc>
          <w:tcPr>
            <w:tcW w:w="992" w:type="dxa"/>
            <w:vAlign w:val="center"/>
          </w:tcPr>
          <w:p w:rsidR="00715D54" w:rsidRPr="003D7510" w:rsidRDefault="00715D54" w:rsidP="00083DC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李艳枝</w:t>
            </w:r>
          </w:p>
        </w:tc>
        <w:tc>
          <w:tcPr>
            <w:tcW w:w="5463" w:type="dxa"/>
            <w:vAlign w:val="center"/>
          </w:tcPr>
          <w:p w:rsidR="00715D54" w:rsidRPr="003D7510" w:rsidRDefault="00715D54" w:rsidP="00E4606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1.土耳其政治发展道路的反思与启示</w:t>
            </w:r>
          </w:p>
        </w:tc>
      </w:tr>
      <w:tr w:rsidR="00715D54" w:rsidTr="00B57163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715D54" w:rsidRDefault="00715D54" w:rsidP="00083DC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715D54" w:rsidRDefault="00715D54" w:rsidP="00083DC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715D54" w:rsidRDefault="00715D54" w:rsidP="0008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15D54" w:rsidRPr="003D7510" w:rsidRDefault="00715D54" w:rsidP="00083DC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宋保军</w:t>
            </w:r>
          </w:p>
        </w:tc>
        <w:tc>
          <w:tcPr>
            <w:tcW w:w="5463" w:type="dxa"/>
            <w:vAlign w:val="center"/>
          </w:tcPr>
          <w:p w:rsidR="00715D54" w:rsidRPr="003D7510" w:rsidRDefault="00715D54" w:rsidP="002E5C3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2.马丁·路德的土耳其观念</w:t>
            </w:r>
          </w:p>
        </w:tc>
      </w:tr>
      <w:tr w:rsidR="00715D54" w:rsidTr="00B57163">
        <w:trPr>
          <w:cantSplit/>
          <w:trHeight w:val="408"/>
          <w:jc w:val="center"/>
        </w:trPr>
        <w:tc>
          <w:tcPr>
            <w:tcW w:w="846" w:type="dxa"/>
            <w:vMerge/>
            <w:vAlign w:val="center"/>
          </w:tcPr>
          <w:p w:rsidR="00715D54" w:rsidRDefault="00715D54" w:rsidP="00083DC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715D54" w:rsidRDefault="00715D54" w:rsidP="00083DC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715D54" w:rsidRDefault="00715D54" w:rsidP="00083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15D54" w:rsidRPr="003D7510" w:rsidRDefault="00715D54" w:rsidP="00083DC8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丁雨婷</w:t>
            </w:r>
          </w:p>
        </w:tc>
        <w:tc>
          <w:tcPr>
            <w:tcW w:w="5463" w:type="dxa"/>
            <w:vAlign w:val="center"/>
          </w:tcPr>
          <w:p w:rsidR="00715D54" w:rsidRPr="003D7510" w:rsidRDefault="00715D54" w:rsidP="002E5C3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3.</w:t>
            </w: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论塞尔柱王朝政治制度的特征</w:t>
            </w:r>
          </w:p>
        </w:tc>
      </w:tr>
      <w:tr w:rsidR="00BE448B" w:rsidTr="00B57163">
        <w:trPr>
          <w:cantSplit/>
          <w:trHeight w:val="408"/>
          <w:jc w:val="center"/>
        </w:trPr>
        <w:tc>
          <w:tcPr>
            <w:tcW w:w="846" w:type="dxa"/>
            <w:vMerge/>
            <w:vAlign w:val="center"/>
          </w:tcPr>
          <w:p w:rsidR="00BE448B" w:rsidRDefault="00BE448B" w:rsidP="00BE448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BE448B" w:rsidRDefault="00BE448B" w:rsidP="00BE448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E448B" w:rsidRPr="006913BB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尹  婧</w:t>
            </w:r>
          </w:p>
        </w:tc>
        <w:tc>
          <w:tcPr>
            <w:tcW w:w="5463" w:type="dxa"/>
            <w:vAlign w:val="center"/>
          </w:tcPr>
          <w:p w:rsidR="00BE448B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.土耳其切尔克斯人问题探析</w:t>
            </w:r>
          </w:p>
        </w:tc>
      </w:tr>
      <w:tr w:rsidR="00BE448B" w:rsidTr="00B57163">
        <w:trPr>
          <w:cantSplit/>
          <w:trHeight w:val="326"/>
          <w:jc w:val="center"/>
        </w:trPr>
        <w:tc>
          <w:tcPr>
            <w:tcW w:w="84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蒋  真</w:t>
            </w:r>
          </w:p>
        </w:tc>
        <w:tc>
          <w:tcPr>
            <w:tcW w:w="5463" w:type="dxa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.美国对伊朗单边制裁的立法依据</w:t>
            </w:r>
          </w:p>
        </w:tc>
      </w:tr>
      <w:tr w:rsidR="00BE448B" w:rsidTr="00B57163">
        <w:trPr>
          <w:cantSplit/>
          <w:trHeight w:val="362"/>
          <w:jc w:val="center"/>
        </w:trPr>
        <w:tc>
          <w:tcPr>
            <w:tcW w:w="84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刘  辉</w:t>
            </w:r>
          </w:p>
        </w:tc>
        <w:tc>
          <w:tcPr>
            <w:tcW w:w="5463" w:type="dxa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.苏丹南北分立的美国因素</w:t>
            </w:r>
          </w:p>
        </w:tc>
      </w:tr>
      <w:tr w:rsidR="00BE448B" w:rsidTr="00B57163">
        <w:trPr>
          <w:cantSplit/>
          <w:trHeight w:val="400"/>
          <w:jc w:val="center"/>
        </w:trPr>
        <w:tc>
          <w:tcPr>
            <w:tcW w:w="84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叶  亢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.从舆论的视角解析</w:t>
            </w:r>
            <w:r w:rsidRPr="003D7510">
              <w:rPr>
                <w:rFonts w:ascii="宋体" w:hAnsi="宋体" w:cs="宋体"/>
                <w:color w:val="000000"/>
                <w:sz w:val="21"/>
                <w:szCs w:val="21"/>
              </w:rPr>
              <w:t>1882</w:t>
            </w: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年英国占领埃及</w:t>
            </w:r>
          </w:p>
        </w:tc>
      </w:tr>
      <w:tr w:rsidR="00BE448B" w:rsidTr="00B57163">
        <w:trPr>
          <w:cantSplit/>
          <w:trHeight w:val="336"/>
          <w:jc w:val="center"/>
        </w:trPr>
        <w:tc>
          <w:tcPr>
            <w:tcW w:w="84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B925D1" w:rsidRDefault="00B925D1" w:rsidP="00B925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雷  钰</w:t>
            </w:r>
          </w:p>
          <w:p w:rsidR="00BE448B" w:rsidRDefault="00BE448B" w:rsidP="00BE44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sz w:val="21"/>
                <w:szCs w:val="21"/>
              </w:rPr>
              <w:t>主持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  <w:p w:rsidR="00B925D1" w:rsidRDefault="00B925D1" w:rsidP="00BE448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E448B" w:rsidRDefault="00B925D1" w:rsidP="00B925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李艳枝</w:t>
            </w:r>
          </w:p>
          <w:p w:rsidR="00BE448B" w:rsidRDefault="00BE448B" w:rsidP="00BE44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蒋  真</w:t>
            </w:r>
          </w:p>
          <w:p w:rsidR="00BE448B" w:rsidRDefault="00BE448B" w:rsidP="00BE44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(评议)</w:t>
            </w:r>
          </w:p>
          <w:p w:rsidR="00BE448B" w:rsidRDefault="00BE448B" w:rsidP="00BE44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15分钟/人（含评议）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王  猛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8.</w:t>
            </w: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“一带一路”视域下的中国中东外交</w:t>
            </w:r>
          </w:p>
        </w:tc>
      </w:tr>
      <w:tr w:rsidR="00BE448B" w:rsidTr="00B57163">
        <w:trPr>
          <w:cantSplit/>
          <w:trHeight w:val="336"/>
          <w:jc w:val="center"/>
        </w:trPr>
        <w:tc>
          <w:tcPr>
            <w:tcW w:w="84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BE448B" w:rsidRDefault="00BE448B" w:rsidP="00BE448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宋永成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BE448B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9.</w:t>
            </w:r>
            <w:r w:rsidRPr="005611FB">
              <w:rPr>
                <w:rFonts w:ascii="宋体" w:hAnsi="宋体" w:cs="宋体" w:hint="eastAsia"/>
                <w:color w:val="000000"/>
                <w:sz w:val="21"/>
                <w:szCs w:val="21"/>
              </w:rPr>
              <w:t>斯大林的“民族”理论及其对犹太人的影响</w:t>
            </w:r>
          </w:p>
        </w:tc>
      </w:tr>
      <w:tr w:rsidR="00BE448B" w:rsidTr="00B57163">
        <w:trPr>
          <w:cantSplit/>
          <w:trHeight w:val="283"/>
          <w:jc w:val="center"/>
        </w:trPr>
        <w:tc>
          <w:tcPr>
            <w:tcW w:w="84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谢立忱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10.</w:t>
            </w: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关于以色列与海湾国家关系的几点思考</w:t>
            </w:r>
          </w:p>
        </w:tc>
      </w:tr>
      <w:tr w:rsidR="00BE448B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/>
                <w:color w:val="000000"/>
                <w:sz w:val="21"/>
                <w:szCs w:val="21"/>
              </w:rPr>
              <w:t>李</w:t>
            </w: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 w:rsidRPr="003D7510">
              <w:rPr>
                <w:rFonts w:ascii="宋体" w:hAnsi="宋体" w:cs="宋体"/>
                <w:color w:val="000000"/>
                <w:sz w:val="21"/>
                <w:szCs w:val="21"/>
              </w:rPr>
              <w:t>玮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11</w:t>
            </w: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.</w:t>
            </w:r>
            <w:r w:rsidRPr="003D7510">
              <w:rPr>
                <w:rFonts w:ascii="宋体" w:hAnsi="宋体" w:cs="宋体"/>
                <w:color w:val="000000"/>
                <w:sz w:val="21"/>
                <w:szCs w:val="21"/>
              </w:rPr>
              <w:t>以色列社会对中国及其“一带一路”倡议的角色认同</w:t>
            </w:r>
          </w:p>
        </w:tc>
      </w:tr>
      <w:tr w:rsidR="00BE448B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陈利宽</w:t>
            </w:r>
          </w:p>
        </w:tc>
        <w:tc>
          <w:tcPr>
            <w:tcW w:w="5463" w:type="dxa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12</w:t>
            </w: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.“一带一路”倡议下的中以科技创新合作</w:t>
            </w:r>
          </w:p>
        </w:tc>
      </w:tr>
      <w:tr w:rsidR="00BE448B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BE448B" w:rsidRDefault="00BE448B" w:rsidP="00BE4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E448B" w:rsidRPr="003D7510" w:rsidRDefault="00BE448B" w:rsidP="00BE448B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王荣丽</w:t>
            </w:r>
          </w:p>
        </w:tc>
        <w:tc>
          <w:tcPr>
            <w:tcW w:w="5463" w:type="dxa"/>
            <w:vAlign w:val="center"/>
          </w:tcPr>
          <w:p w:rsidR="00BE448B" w:rsidRPr="00954554" w:rsidRDefault="00BE448B" w:rsidP="00BE448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54554">
              <w:rPr>
                <w:rFonts w:ascii="宋体" w:hAnsi="宋体" w:cs="宋体" w:hint="eastAsia"/>
                <w:color w:val="000000"/>
                <w:sz w:val="18"/>
                <w:szCs w:val="18"/>
              </w:rPr>
              <w:t>13.一带一路之太阳能光伏新能源---第三次工业革命·新机遇</w:t>
            </w:r>
          </w:p>
        </w:tc>
      </w:tr>
      <w:tr w:rsidR="008F66A9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Pr="003D7510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王钰航</w:t>
            </w:r>
          </w:p>
        </w:tc>
        <w:tc>
          <w:tcPr>
            <w:tcW w:w="5463" w:type="dxa"/>
            <w:vAlign w:val="center"/>
          </w:tcPr>
          <w:p w:rsidR="008F66A9" w:rsidRPr="003D7510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14</w:t>
            </w: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.浅析以色列情报部门在保障公共安全中的作用</w:t>
            </w:r>
          </w:p>
        </w:tc>
      </w:tr>
      <w:tr w:rsidR="008F66A9" w:rsidTr="00B05A29">
        <w:trPr>
          <w:cantSplit/>
          <w:trHeight w:val="381"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66A9" w:rsidRPr="006913BB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李大伟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8F66A9" w:rsidRPr="00FD113C" w:rsidRDefault="008F66A9" w:rsidP="008F66A9">
            <w:pPr>
              <w:widowControl/>
              <w:autoSpaceDE/>
              <w:autoSpaceDN/>
              <w:adjustRightInd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15.</w:t>
            </w:r>
            <w:r w:rsidRPr="00FD113C">
              <w:rPr>
                <w:rFonts w:ascii="宋体" w:hAnsi="宋体" w:cs="宋体"/>
                <w:sz w:val="21"/>
                <w:szCs w:val="21"/>
              </w:rPr>
              <w:t>Rādhānites犹太商人来源考</w:t>
            </w:r>
          </w:p>
        </w:tc>
      </w:tr>
      <w:tr w:rsidR="008F66A9" w:rsidTr="008C0DFE">
        <w:trPr>
          <w:cantSplit/>
          <w:trHeight w:val="303"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8F66A9" w:rsidRPr="00130B13" w:rsidRDefault="008F66A9" w:rsidP="008F66A9">
            <w:pPr>
              <w:rPr>
                <w:rFonts w:ascii="宋体" w:hAnsi="宋体"/>
                <w:sz w:val="21"/>
                <w:szCs w:val="21"/>
              </w:rPr>
            </w:pPr>
            <w:r w:rsidRPr="00130B13">
              <w:rPr>
                <w:rFonts w:ascii="宋体" w:hAnsi="宋体" w:hint="eastAsia"/>
                <w:sz w:val="21"/>
                <w:szCs w:val="21"/>
              </w:rPr>
              <w:t>中东历史与社会变迁</w:t>
            </w:r>
          </w:p>
          <w:p w:rsidR="008F66A9" w:rsidRDefault="008F66A9" w:rsidP="008F66A9">
            <w:pPr>
              <w:rPr>
                <w:rFonts w:ascii="宋体" w:hAnsi="宋体"/>
                <w:b/>
                <w:sz w:val="21"/>
                <w:szCs w:val="21"/>
              </w:rPr>
            </w:pPr>
          </w:p>
          <w:p w:rsidR="008F66A9" w:rsidRDefault="008F66A9" w:rsidP="008F66A9">
            <w:pPr>
              <w:rPr>
                <w:rFonts w:ascii="宋体" w:hAnsi="宋体"/>
                <w:b/>
                <w:sz w:val="21"/>
                <w:szCs w:val="21"/>
              </w:rPr>
            </w:pPr>
          </w:p>
          <w:p w:rsidR="008F66A9" w:rsidRDefault="008F66A9" w:rsidP="008F66A9">
            <w:pPr>
              <w:rPr>
                <w:rFonts w:ascii="宋体" w:hAnsi="宋体"/>
                <w:b/>
                <w:sz w:val="21"/>
                <w:szCs w:val="21"/>
              </w:rPr>
            </w:pPr>
          </w:p>
          <w:p w:rsidR="008F66A9" w:rsidRPr="00C33591" w:rsidRDefault="008F66A9" w:rsidP="008F66A9">
            <w:pPr>
              <w:rPr>
                <w:rFonts w:ascii="宋体" w:hAnsi="宋体"/>
                <w:sz w:val="21"/>
                <w:szCs w:val="21"/>
              </w:rPr>
            </w:pPr>
            <w:r w:rsidRPr="00C33591">
              <w:rPr>
                <w:rFonts w:ascii="宋体" w:hAnsi="宋体" w:hint="eastAsia"/>
                <w:sz w:val="21"/>
                <w:szCs w:val="21"/>
              </w:rPr>
              <w:t>教学九楼一层</w:t>
            </w:r>
          </w:p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  <w:r w:rsidRPr="00FE20D1">
              <w:rPr>
                <w:rFonts w:ascii="宋体" w:hAnsi="宋体" w:hint="eastAsia"/>
                <w:sz w:val="21"/>
                <w:szCs w:val="21"/>
              </w:rPr>
              <w:t>心理学院会议室</w:t>
            </w:r>
          </w:p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王三义</w:t>
            </w:r>
          </w:p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(主持)</w:t>
            </w:r>
          </w:p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8F66A9" w:rsidRDefault="008F66A9" w:rsidP="008F66A9">
            <w:pPr>
              <w:jc w:val="center"/>
              <w:rPr>
                <w:sz w:val="21"/>
                <w:szCs w:val="21"/>
              </w:rPr>
            </w:pPr>
            <w:r w:rsidRPr="006F315B">
              <w:rPr>
                <w:rFonts w:hint="eastAsia"/>
                <w:sz w:val="21"/>
                <w:szCs w:val="21"/>
              </w:rPr>
              <w:t>樊为之</w:t>
            </w:r>
          </w:p>
          <w:p w:rsidR="008F66A9" w:rsidRPr="006F315B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李福泉</w:t>
            </w:r>
          </w:p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(评议)</w:t>
            </w:r>
          </w:p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15分钟/人</w:t>
            </w:r>
          </w:p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（含评议）</w:t>
            </w:r>
          </w:p>
        </w:tc>
        <w:tc>
          <w:tcPr>
            <w:tcW w:w="992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冯璐璐</w:t>
            </w:r>
          </w:p>
        </w:tc>
        <w:tc>
          <w:tcPr>
            <w:tcW w:w="5463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1.</w:t>
            </w: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中东国家与资本主义的生成</w:t>
            </w:r>
          </w:p>
        </w:tc>
      </w:tr>
      <w:tr w:rsidR="008F66A9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白若萌</w:t>
            </w:r>
          </w:p>
        </w:tc>
        <w:tc>
          <w:tcPr>
            <w:tcW w:w="5463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2.</w:t>
            </w: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漫谈</w:t>
            </w:r>
            <w:r w:rsidRPr="006913BB">
              <w:rPr>
                <w:rFonts w:ascii="宋体" w:hAnsi="宋体" w:cs="宋体"/>
                <w:color w:val="000000"/>
                <w:sz w:val="21"/>
                <w:szCs w:val="21"/>
              </w:rPr>
              <w:t>目前学术界对阿拉伯国家经济状况的研究</w:t>
            </w:r>
          </w:p>
        </w:tc>
      </w:tr>
      <w:tr w:rsidR="008F66A9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苏  瑛</w:t>
            </w:r>
          </w:p>
        </w:tc>
        <w:tc>
          <w:tcPr>
            <w:tcW w:w="5463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3.</w:t>
            </w: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伊斯兰改革集团对也门政治发展的影响</w:t>
            </w:r>
          </w:p>
        </w:tc>
      </w:tr>
      <w:tr w:rsidR="008F66A9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Pr="006913BB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姚惠娜</w:t>
            </w:r>
          </w:p>
        </w:tc>
        <w:tc>
          <w:tcPr>
            <w:tcW w:w="5463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4.</w:t>
            </w:r>
            <w:r w:rsidRPr="003D7510">
              <w:rPr>
                <w:rFonts w:ascii="宋体" w:hAnsi="宋体" w:cs="宋体" w:hint="eastAsia"/>
                <w:color w:val="000000"/>
                <w:sz w:val="21"/>
                <w:szCs w:val="21"/>
              </w:rPr>
              <w:t>利益集团与美国的中东研究</w:t>
            </w:r>
          </w:p>
        </w:tc>
      </w:tr>
      <w:tr w:rsidR="008F66A9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/>
                <w:color w:val="000000"/>
                <w:sz w:val="21"/>
                <w:szCs w:val="21"/>
              </w:rPr>
              <w:t>刘昌鑫</w:t>
            </w:r>
          </w:p>
        </w:tc>
        <w:tc>
          <w:tcPr>
            <w:tcW w:w="5463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5.</w:t>
            </w:r>
            <w:r w:rsidRPr="006913BB">
              <w:rPr>
                <w:rFonts w:ascii="宋体" w:hAnsi="宋体" w:cs="宋体"/>
                <w:color w:val="000000"/>
                <w:sz w:val="21"/>
                <w:szCs w:val="21"/>
              </w:rPr>
              <w:t>爱资哈尔大学宗教地位的演变及其影响</w:t>
            </w:r>
          </w:p>
        </w:tc>
      </w:tr>
      <w:tr w:rsidR="008F66A9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/>
                <w:color w:val="000000"/>
                <w:sz w:val="21"/>
                <w:szCs w:val="21"/>
              </w:rPr>
              <w:t>梁道远</w:t>
            </w:r>
          </w:p>
        </w:tc>
        <w:tc>
          <w:tcPr>
            <w:tcW w:w="5463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6.</w:t>
            </w:r>
            <w:r w:rsidRPr="006913BB">
              <w:rPr>
                <w:rFonts w:ascii="宋体" w:hAnsi="宋体" w:cs="宋体"/>
                <w:color w:val="000000"/>
                <w:sz w:val="21"/>
                <w:szCs w:val="21"/>
              </w:rPr>
              <w:t>史学史研究的</w:t>
            </w: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“四个圈子”</w:t>
            </w:r>
          </w:p>
        </w:tc>
      </w:tr>
      <w:tr w:rsidR="008F66A9" w:rsidTr="00B57163">
        <w:trPr>
          <w:cantSplit/>
          <w:trHeight w:val="357"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许瑞娟</w:t>
            </w:r>
          </w:p>
        </w:tc>
        <w:tc>
          <w:tcPr>
            <w:tcW w:w="5463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7.</w:t>
            </w: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中学历史教学中的中东史</w:t>
            </w:r>
          </w:p>
        </w:tc>
      </w:tr>
      <w:tr w:rsidR="008F66A9" w:rsidTr="00B57163">
        <w:trPr>
          <w:cantSplit/>
          <w:trHeight w:val="357"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Pr="003D7510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376CC">
              <w:rPr>
                <w:rFonts w:ascii="宋体" w:hAnsi="宋体" w:cs="宋体" w:hint="eastAsia"/>
                <w:sz w:val="21"/>
                <w:szCs w:val="21"/>
              </w:rPr>
              <w:t>闫忠林</w:t>
            </w:r>
          </w:p>
        </w:tc>
        <w:tc>
          <w:tcPr>
            <w:tcW w:w="5463" w:type="dxa"/>
            <w:vAlign w:val="center"/>
          </w:tcPr>
          <w:p w:rsidR="008F66A9" w:rsidRPr="003D7510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8.</w:t>
            </w:r>
            <w:r w:rsidRPr="00F376CC">
              <w:rPr>
                <w:rFonts w:ascii="宋体" w:hAnsi="宋体" w:cs="宋体" w:hint="eastAsia"/>
                <w:sz w:val="21"/>
                <w:szCs w:val="21"/>
              </w:rPr>
              <w:t>军人在埃及现代政治生态中的角色与地位研究</w:t>
            </w:r>
          </w:p>
        </w:tc>
      </w:tr>
      <w:tr w:rsidR="008F66A9" w:rsidRPr="006913BB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车效梅</w:t>
            </w:r>
          </w:p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(主持)</w:t>
            </w:r>
          </w:p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冯璐璐</w:t>
            </w:r>
          </w:p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姚惠娜</w:t>
            </w:r>
          </w:p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(评议)</w:t>
            </w:r>
          </w:p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15分钟/人</w:t>
            </w:r>
          </w:p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（含评议）</w:t>
            </w:r>
          </w:p>
        </w:tc>
        <w:tc>
          <w:tcPr>
            <w:tcW w:w="992" w:type="dxa"/>
            <w:vAlign w:val="center"/>
          </w:tcPr>
          <w:p w:rsidR="008F66A9" w:rsidRPr="006F315B" w:rsidRDefault="008F66A9" w:rsidP="008F66A9">
            <w:pPr>
              <w:rPr>
                <w:rFonts w:ascii="宋体" w:hAnsi="宋体"/>
                <w:sz w:val="21"/>
                <w:szCs w:val="21"/>
              </w:rPr>
            </w:pPr>
            <w:r w:rsidRPr="006F315B">
              <w:rPr>
                <w:rFonts w:hint="eastAsia"/>
                <w:sz w:val="21"/>
                <w:szCs w:val="21"/>
              </w:rPr>
              <w:t>樊为之</w:t>
            </w:r>
          </w:p>
        </w:tc>
        <w:tc>
          <w:tcPr>
            <w:tcW w:w="5463" w:type="dxa"/>
            <w:vAlign w:val="center"/>
          </w:tcPr>
          <w:p w:rsidR="008F66A9" w:rsidRPr="003D7510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9.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美国对阿富汗的政策</w:t>
            </w:r>
          </w:p>
        </w:tc>
      </w:tr>
      <w:tr w:rsidR="008F66A9" w:rsidRPr="006913BB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李福泉</w:t>
            </w:r>
          </w:p>
        </w:tc>
        <w:tc>
          <w:tcPr>
            <w:tcW w:w="5463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10.</w:t>
            </w: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什叶派乌里玛与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礼萨·汗关系评析</w:t>
            </w:r>
          </w:p>
        </w:tc>
      </w:tr>
      <w:tr w:rsidR="008F66A9" w:rsidRPr="006913BB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Pr="006913BB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冯广宜</w:t>
            </w:r>
          </w:p>
        </w:tc>
        <w:tc>
          <w:tcPr>
            <w:tcW w:w="5463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11</w:t>
            </w: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.伊朗恺加王朝的现代化进程</w:t>
            </w:r>
          </w:p>
        </w:tc>
      </w:tr>
      <w:tr w:rsidR="008F66A9" w:rsidRPr="006913BB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Pr="006913BB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闫  伟</w:t>
            </w:r>
          </w:p>
        </w:tc>
        <w:tc>
          <w:tcPr>
            <w:tcW w:w="5463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12</w:t>
            </w: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.部落社会与阿富汗重建的困境</w:t>
            </w:r>
          </w:p>
        </w:tc>
      </w:tr>
      <w:tr w:rsidR="008F66A9" w:rsidRPr="006913BB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Pr="006913BB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李  茜</w:t>
            </w:r>
          </w:p>
        </w:tc>
        <w:tc>
          <w:tcPr>
            <w:tcW w:w="5463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.海湾地区阿拉伯部落忠诚研究现状</w:t>
            </w:r>
          </w:p>
        </w:tc>
      </w:tr>
      <w:tr w:rsidR="008F66A9" w:rsidRPr="006913BB" w:rsidTr="00B57163"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Pr="006913BB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张  超</w:t>
            </w:r>
          </w:p>
        </w:tc>
        <w:tc>
          <w:tcPr>
            <w:tcW w:w="5463" w:type="dxa"/>
            <w:vAlign w:val="center"/>
          </w:tcPr>
          <w:p w:rsidR="008F66A9" w:rsidRPr="009C3525" w:rsidRDefault="008F66A9" w:rsidP="008F66A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C3525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  <w:r w:rsidRPr="009C3525">
              <w:rPr>
                <w:rFonts w:ascii="宋体" w:hAnsi="宋体" w:cs="宋体" w:hint="eastAsia"/>
                <w:color w:val="000000"/>
                <w:sz w:val="18"/>
                <w:szCs w:val="18"/>
              </w:rPr>
              <w:t>.伊拉克库尔德问题的演变及其对伊准联邦国家建构的影响</w:t>
            </w:r>
          </w:p>
        </w:tc>
      </w:tr>
      <w:tr w:rsidR="008F66A9" w:rsidRPr="006913BB" w:rsidTr="008C0DFE">
        <w:trPr>
          <w:cantSplit/>
          <w:trHeight w:val="227"/>
          <w:jc w:val="center"/>
        </w:trPr>
        <w:tc>
          <w:tcPr>
            <w:tcW w:w="84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8F66A9" w:rsidRDefault="008F66A9" w:rsidP="008F6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6A9" w:rsidRPr="006913BB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孙慧敏</w:t>
            </w:r>
          </w:p>
        </w:tc>
        <w:tc>
          <w:tcPr>
            <w:tcW w:w="5463" w:type="dxa"/>
            <w:vAlign w:val="center"/>
          </w:tcPr>
          <w:p w:rsidR="008F66A9" w:rsidRDefault="008F66A9" w:rsidP="008F66A9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  <w:r w:rsidRPr="006913BB">
              <w:rPr>
                <w:rFonts w:ascii="宋体" w:hAnsi="宋体" w:cs="宋体" w:hint="eastAsia"/>
                <w:color w:val="000000"/>
                <w:sz w:val="21"/>
                <w:szCs w:val="21"/>
              </w:rPr>
              <w:t>.论埃及立宪君主制时期统治精英的互动关系及其影响</w:t>
            </w:r>
          </w:p>
        </w:tc>
      </w:tr>
    </w:tbl>
    <w:p w:rsidR="009735DA" w:rsidRDefault="009735DA" w:rsidP="00A605FC">
      <w:pPr>
        <w:rPr>
          <w:rFonts w:hint="eastAsia"/>
          <w:b/>
          <w:sz w:val="28"/>
          <w:szCs w:val="28"/>
        </w:rPr>
      </w:pPr>
    </w:p>
    <w:sectPr w:rsidR="009735DA" w:rsidSect="00B57163">
      <w:headerReference w:type="even" r:id="rId9"/>
      <w:headerReference w:type="default" r:id="rId10"/>
      <w:footerReference w:type="default" r:id="rId11"/>
      <w:pgSz w:w="11910" w:h="16840"/>
      <w:pgMar w:top="1418" w:right="1304" w:bottom="1418" w:left="1304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57" w:rsidRDefault="00CF3D57">
      <w:r>
        <w:separator/>
      </w:r>
    </w:p>
  </w:endnote>
  <w:endnote w:type="continuationSeparator" w:id="0">
    <w:p w:rsidR="00CF3D57" w:rsidRDefault="00CF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C3" w:rsidRDefault="00223DDB">
    <w:pPr>
      <w:pStyle w:val="a3"/>
      <w:kinsoku w:val="0"/>
      <w:overflowPunct w:val="0"/>
      <w:spacing w:before="0"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3672205</wp:posOffset>
              </wp:positionH>
              <wp:positionV relativeFrom="page">
                <wp:posOffset>9930130</wp:posOffset>
              </wp:positionV>
              <wp:extent cx="21717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3C3" w:rsidRDefault="006A53C3">
                          <w:pPr>
                            <w:pStyle w:val="a3"/>
                            <w:kinsoku w:val="0"/>
                            <w:overflowPunct w:val="0"/>
                            <w:spacing w:before="0" w:line="204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9.15pt;margin-top:781.9pt;width:17.1pt;height:11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" o:allowincell="f" filled="f" stroked="f">
              <v:textbox inset="0,0,0,0">
                <w:txbxContent>
                  <w:p w:rsidR="006A53C3" w:rsidRDefault="006A53C3">
                    <w:pPr>
                      <w:pStyle w:val="a3"/>
                      <w:kinsoku w:val="0"/>
                      <w:overflowPunct w:val="0"/>
                      <w:spacing w:before="0" w:line="204" w:lineRule="exact"/>
                      <w:ind w:left="2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57" w:rsidRDefault="00CF3D57">
      <w:r>
        <w:separator/>
      </w:r>
    </w:p>
  </w:footnote>
  <w:footnote w:type="continuationSeparator" w:id="0">
    <w:p w:rsidR="00CF3D57" w:rsidRDefault="00CF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C3" w:rsidRDefault="006A53C3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C3" w:rsidRDefault="006A53C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A59F6"/>
    <w:multiLevelType w:val="multilevel"/>
    <w:tmpl w:val="406A59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E138CF"/>
    <w:multiLevelType w:val="hybridMultilevel"/>
    <w:tmpl w:val="47D05ECE"/>
    <w:lvl w:ilvl="0" w:tplc="04090001">
      <w:start w:val="1"/>
      <w:numFmt w:val="bullet"/>
      <w:lvlText w:val=""/>
      <w:lvlJc w:val="left"/>
      <w:pPr>
        <w:ind w:left="13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6" w:hanging="420"/>
      </w:pPr>
      <w:rPr>
        <w:rFonts w:ascii="Wingdings" w:hAnsi="Wingdings" w:hint="default"/>
      </w:rPr>
    </w:lvl>
  </w:abstractNum>
  <w:abstractNum w:abstractNumId="2" w15:restartNumberingAfterBreak="0">
    <w:nsid w:val="59DB7EC8"/>
    <w:multiLevelType w:val="singleLevel"/>
    <w:tmpl w:val="59DB7EC8"/>
    <w:lvl w:ilvl="0">
      <w:start w:val="8"/>
      <w:numFmt w:val="chineseCounting"/>
      <w:suff w:val="nothing"/>
      <w:lvlText w:val="%1、"/>
      <w:lvlJc w:val="left"/>
    </w:lvl>
  </w:abstractNum>
  <w:abstractNum w:abstractNumId="3" w15:restartNumberingAfterBreak="0">
    <w:nsid w:val="67FA1CB9"/>
    <w:multiLevelType w:val="hybridMultilevel"/>
    <w:tmpl w:val="BDFCF9E0"/>
    <w:lvl w:ilvl="0" w:tplc="BB72B9BA">
      <w:start w:val="4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 w15:restartNumberingAfterBreak="0">
    <w:nsid w:val="6F8174E1"/>
    <w:multiLevelType w:val="hybridMultilevel"/>
    <w:tmpl w:val="70169B06"/>
    <w:lvl w:ilvl="0" w:tplc="01660EFE">
      <w:start w:val="10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38"/>
    <w:rsid w:val="000223CE"/>
    <w:rsid w:val="00026BC3"/>
    <w:rsid w:val="000410CD"/>
    <w:rsid w:val="000453DA"/>
    <w:rsid w:val="00047254"/>
    <w:rsid w:val="000523F6"/>
    <w:rsid w:val="00061DEE"/>
    <w:rsid w:val="00065FFD"/>
    <w:rsid w:val="00072404"/>
    <w:rsid w:val="00076E30"/>
    <w:rsid w:val="00076F79"/>
    <w:rsid w:val="00080DF1"/>
    <w:rsid w:val="00083DC8"/>
    <w:rsid w:val="00094D0D"/>
    <w:rsid w:val="000A517B"/>
    <w:rsid w:val="000A713A"/>
    <w:rsid w:val="000B05FC"/>
    <w:rsid w:val="000B20DA"/>
    <w:rsid w:val="000B3785"/>
    <w:rsid w:val="000B6A04"/>
    <w:rsid w:val="000B727A"/>
    <w:rsid w:val="000C0468"/>
    <w:rsid w:val="000C2621"/>
    <w:rsid w:val="000C3951"/>
    <w:rsid w:val="000D02B7"/>
    <w:rsid w:val="000D707C"/>
    <w:rsid w:val="000E0CBE"/>
    <w:rsid w:val="000E599F"/>
    <w:rsid w:val="000E799C"/>
    <w:rsid w:val="000F4DED"/>
    <w:rsid w:val="00107C1C"/>
    <w:rsid w:val="00107D1F"/>
    <w:rsid w:val="00116BDF"/>
    <w:rsid w:val="00117E66"/>
    <w:rsid w:val="00130B13"/>
    <w:rsid w:val="0013768E"/>
    <w:rsid w:val="00142B2E"/>
    <w:rsid w:val="0015083D"/>
    <w:rsid w:val="001535C6"/>
    <w:rsid w:val="00154121"/>
    <w:rsid w:val="00162629"/>
    <w:rsid w:val="0016609D"/>
    <w:rsid w:val="001666AE"/>
    <w:rsid w:val="00173BDA"/>
    <w:rsid w:val="00173EFD"/>
    <w:rsid w:val="001743D3"/>
    <w:rsid w:val="00184AB3"/>
    <w:rsid w:val="00184F4D"/>
    <w:rsid w:val="00186331"/>
    <w:rsid w:val="00190342"/>
    <w:rsid w:val="001A1C3F"/>
    <w:rsid w:val="001A56E2"/>
    <w:rsid w:val="001B401C"/>
    <w:rsid w:val="001C3E58"/>
    <w:rsid w:val="001D1A03"/>
    <w:rsid w:val="001D4340"/>
    <w:rsid w:val="001D45B0"/>
    <w:rsid w:val="001D4D03"/>
    <w:rsid w:val="001E6690"/>
    <w:rsid w:val="002009D7"/>
    <w:rsid w:val="0020657E"/>
    <w:rsid w:val="0021417F"/>
    <w:rsid w:val="002168CB"/>
    <w:rsid w:val="00221F78"/>
    <w:rsid w:val="00223DDB"/>
    <w:rsid w:val="00226858"/>
    <w:rsid w:val="00230F2E"/>
    <w:rsid w:val="002354F3"/>
    <w:rsid w:val="00237330"/>
    <w:rsid w:val="002461AE"/>
    <w:rsid w:val="00246EC5"/>
    <w:rsid w:val="00251380"/>
    <w:rsid w:val="00252107"/>
    <w:rsid w:val="00253356"/>
    <w:rsid w:val="00253492"/>
    <w:rsid w:val="0025594A"/>
    <w:rsid w:val="002703DF"/>
    <w:rsid w:val="002808E1"/>
    <w:rsid w:val="0029734F"/>
    <w:rsid w:val="002B3564"/>
    <w:rsid w:val="002D6807"/>
    <w:rsid w:val="002E1C2A"/>
    <w:rsid w:val="002E5C31"/>
    <w:rsid w:val="002F0B01"/>
    <w:rsid w:val="002F5526"/>
    <w:rsid w:val="0030052E"/>
    <w:rsid w:val="00305041"/>
    <w:rsid w:val="00307F79"/>
    <w:rsid w:val="00313C3C"/>
    <w:rsid w:val="00334DB3"/>
    <w:rsid w:val="00336996"/>
    <w:rsid w:val="00344FCF"/>
    <w:rsid w:val="00367870"/>
    <w:rsid w:val="0037107F"/>
    <w:rsid w:val="00374AD2"/>
    <w:rsid w:val="00377D97"/>
    <w:rsid w:val="00380E6B"/>
    <w:rsid w:val="00381BA1"/>
    <w:rsid w:val="00384EB0"/>
    <w:rsid w:val="00390194"/>
    <w:rsid w:val="0039243A"/>
    <w:rsid w:val="003A726B"/>
    <w:rsid w:val="003B5732"/>
    <w:rsid w:val="003D4B44"/>
    <w:rsid w:val="003D6E8F"/>
    <w:rsid w:val="003D7510"/>
    <w:rsid w:val="003E35CA"/>
    <w:rsid w:val="003E52A0"/>
    <w:rsid w:val="003F0ED2"/>
    <w:rsid w:val="003F1C2C"/>
    <w:rsid w:val="003F2C2E"/>
    <w:rsid w:val="00411099"/>
    <w:rsid w:val="004247BA"/>
    <w:rsid w:val="0042798B"/>
    <w:rsid w:val="00444509"/>
    <w:rsid w:val="00447B17"/>
    <w:rsid w:val="00452287"/>
    <w:rsid w:val="00462684"/>
    <w:rsid w:val="00467286"/>
    <w:rsid w:val="00467640"/>
    <w:rsid w:val="00470D60"/>
    <w:rsid w:val="00472629"/>
    <w:rsid w:val="00480A06"/>
    <w:rsid w:val="0048526A"/>
    <w:rsid w:val="00485EA4"/>
    <w:rsid w:val="00487F38"/>
    <w:rsid w:val="00490D3C"/>
    <w:rsid w:val="004945BB"/>
    <w:rsid w:val="00495F76"/>
    <w:rsid w:val="004A7493"/>
    <w:rsid w:val="004A7740"/>
    <w:rsid w:val="004B1005"/>
    <w:rsid w:val="004B323A"/>
    <w:rsid w:val="004B7250"/>
    <w:rsid w:val="004C5B69"/>
    <w:rsid w:val="004F02C0"/>
    <w:rsid w:val="004F1C50"/>
    <w:rsid w:val="004F45B4"/>
    <w:rsid w:val="004F482B"/>
    <w:rsid w:val="00503A73"/>
    <w:rsid w:val="005053CA"/>
    <w:rsid w:val="00520EAE"/>
    <w:rsid w:val="00554854"/>
    <w:rsid w:val="005562A4"/>
    <w:rsid w:val="005611FB"/>
    <w:rsid w:val="00561EFD"/>
    <w:rsid w:val="00567D22"/>
    <w:rsid w:val="005701B9"/>
    <w:rsid w:val="005719A0"/>
    <w:rsid w:val="00573C06"/>
    <w:rsid w:val="00577D20"/>
    <w:rsid w:val="00592D20"/>
    <w:rsid w:val="0059335C"/>
    <w:rsid w:val="005A19D9"/>
    <w:rsid w:val="005B2949"/>
    <w:rsid w:val="005B34DA"/>
    <w:rsid w:val="005B638C"/>
    <w:rsid w:val="005C1E5A"/>
    <w:rsid w:val="005C58C2"/>
    <w:rsid w:val="005C7EB5"/>
    <w:rsid w:val="005D3AB8"/>
    <w:rsid w:val="005D5408"/>
    <w:rsid w:val="005E6BC1"/>
    <w:rsid w:val="00622885"/>
    <w:rsid w:val="006234E9"/>
    <w:rsid w:val="00626F88"/>
    <w:rsid w:val="00637F26"/>
    <w:rsid w:val="0064189F"/>
    <w:rsid w:val="00646880"/>
    <w:rsid w:val="00647D92"/>
    <w:rsid w:val="0067425D"/>
    <w:rsid w:val="006913BB"/>
    <w:rsid w:val="00697F54"/>
    <w:rsid w:val="006A53C3"/>
    <w:rsid w:val="006B0F1C"/>
    <w:rsid w:val="006C45D1"/>
    <w:rsid w:val="006C4AEC"/>
    <w:rsid w:val="006C5D50"/>
    <w:rsid w:val="006D4E6B"/>
    <w:rsid w:val="006E1948"/>
    <w:rsid w:val="006E6711"/>
    <w:rsid w:val="006F315B"/>
    <w:rsid w:val="006F3BE1"/>
    <w:rsid w:val="006F636F"/>
    <w:rsid w:val="007113C0"/>
    <w:rsid w:val="007148C1"/>
    <w:rsid w:val="00715D54"/>
    <w:rsid w:val="007167A8"/>
    <w:rsid w:val="0072175D"/>
    <w:rsid w:val="00721A4A"/>
    <w:rsid w:val="0072259F"/>
    <w:rsid w:val="00723CD5"/>
    <w:rsid w:val="007261EA"/>
    <w:rsid w:val="0073097D"/>
    <w:rsid w:val="0073518D"/>
    <w:rsid w:val="00736CAE"/>
    <w:rsid w:val="00741024"/>
    <w:rsid w:val="0074587A"/>
    <w:rsid w:val="00752A3A"/>
    <w:rsid w:val="00753FDC"/>
    <w:rsid w:val="007838D3"/>
    <w:rsid w:val="00784C31"/>
    <w:rsid w:val="0078537E"/>
    <w:rsid w:val="00790B3B"/>
    <w:rsid w:val="00791827"/>
    <w:rsid w:val="00792C0C"/>
    <w:rsid w:val="007A25B7"/>
    <w:rsid w:val="007B15FE"/>
    <w:rsid w:val="007B3CCF"/>
    <w:rsid w:val="007B6920"/>
    <w:rsid w:val="007B6BC4"/>
    <w:rsid w:val="007C509F"/>
    <w:rsid w:val="007C7B49"/>
    <w:rsid w:val="007D4A9B"/>
    <w:rsid w:val="007D582F"/>
    <w:rsid w:val="007D7F93"/>
    <w:rsid w:val="007E2152"/>
    <w:rsid w:val="007E4FA7"/>
    <w:rsid w:val="007E7583"/>
    <w:rsid w:val="007F5E16"/>
    <w:rsid w:val="008113AF"/>
    <w:rsid w:val="008114F1"/>
    <w:rsid w:val="00827865"/>
    <w:rsid w:val="008409A4"/>
    <w:rsid w:val="008451DD"/>
    <w:rsid w:val="008469B8"/>
    <w:rsid w:val="00872A2D"/>
    <w:rsid w:val="00877D29"/>
    <w:rsid w:val="00897488"/>
    <w:rsid w:val="008C0DFE"/>
    <w:rsid w:val="008C1BAB"/>
    <w:rsid w:val="008D2E8A"/>
    <w:rsid w:val="008D5234"/>
    <w:rsid w:val="008E661F"/>
    <w:rsid w:val="008F336B"/>
    <w:rsid w:val="008F65F8"/>
    <w:rsid w:val="008F66A9"/>
    <w:rsid w:val="009027DF"/>
    <w:rsid w:val="0091387A"/>
    <w:rsid w:val="00921D04"/>
    <w:rsid w:val="00937D52"/>
    <w:rsid w:val="009441A4"/>
    <w:rsid w:val="00945144"/>
    <w:rsid w:val="00954554"/>
    <w:rsid w:val="0095496F"/>
    <w:rsid w:val="0095633E"/>
    <w:rsid w:val="00972ADA"/>
    <w:rsid w:val="009735DA"/>
    <w:rsid w:val="00976940"/>
    <w:rsid w:val="00984F00"/>
    <w:rsid w:val="009871D1"/>
    <w:rsid w:val="0099184A"/>
    <w:rsid w:val="009B400F"/>
    <w:rsid w:val="009C3525"/>
    <w:rsid w:val="009C3547"/>
    <w:rsid w:val="009C6B9C"/>
    <w:rsid w:val="009D4838"/>
    <w:rsid w:val="009E0460"/>
    <w:rsid w:val="009F7F94"/>
    <w:rsid w:val="00A115A1"/>
    <w:rsid w:val="00A144F3"/>
    <w:rsid w:val="00A220FB"/>
    <w:rsid w:val="00A443E7"/>
    <w:rsid w:val="00A469B3"/>
    <w:rsid w:val="00A519C1"/>
    <w:rsid w:val="00A53650"/>
    <w:rsid w:val="00A601DF"/>
    <w:rsid w:val="00A605FC"/>
    <w:rsid w:val="00A61495"/>
    <w:rsid w:val="00A65E70"/>
    <w:rsid w:val="00A71FBC"/>
    <w:rsid w:val="00A90D48"/>
    <w:rsid w:val="00AA7FE3"/>
    <w:rsid w:val="00AB16C0"/>
    <w:rsid w:val="00AB2771"/>
    <w:rsid w:val="00AB7267"/>
    <w:rsid w:val="00AC033C"/>
    <w:rsid w:val="00AC39E0"/>
    <w:rsid w:val="00AC7A2A"/>
    <w:rsid w:val="00AD16B2"/>
    <w:rsid w:val="00AE1FC2"/>
    <w:rsid w:val="00AF4E25"/>
    <w:rsid w:val="00B0417C"/>
    <w:rsid w:val="00B05A29"/>
    <w:rsid w:val="00B119FA"/>
    <w:rsid w:val="00B30AD8"/>
    <w:rsid w:val="00B355A7"/>
    <w:rsid w:val="00B440F1"/>
    <w:rsid w:val="00B506AF"/>
    <w:rsid w:val="00B518F4"/>
    <w:rsid w:val="00B57163"/>
    <w:rsid w:val="00B62418"/>
    <w:rsid w:val="00B63493"/>
    <w:rsid w:val="00B63C82"/>
    <w:rsid w:val="00B676E8"/>
    <w:rsid w:val="00B75CC7"/>
    <w:rsid w:val="00B775EB"/>
    <w:rsid w:val="00B85F19"/>
    <w:rsid w:val="00B900CF"/>
    <w:rsid w:val="00B9019A"/>
    <w:rsid w:val="00B91BD2"/>
    <w:rsid w:val="00B91BD7"/>
    <w:rsid w:val="00B925D1"/>
    <w:rsid w:val="00BA566A"/>
    <w:rsid w:val="00BB296B"/>
    <w:rsid w:val="00BB3606"/>
    <w:rsid w:val="00BC0834"/>
    <w:rsid w:val="00BC2C67"/>
    <w:rsid w:val="00BD76BC"/>
    <w:rsid w:val="00BE1F26"/>
    <w:rsid w:val="00BE448B"/>
    <w:rsid w:val="00BE6FE7"/>
    <w:rsid w:val="00BF5FFF"/>
    <w:rsid w:val="00C05041"/>
    <w:rsid w:val="00C06318"/>
    <w:rsid w:val="00C06A8C"/>
    <w:rsid w:val="00C20484"/>
    <w:rsid w:val="00C20924"/>
    <w:rsid w:val="00C2383B"/>
    <w:rsid w:val="00C252FE"/>
    <w:rsid w:val="00C32433"/>
    <w:rsid w:val="00C33591"/>
    <w:rsid w:val="00C44C9C"/>
    <w:rsid w:val="00C50F3D"/>
    <w:rsid w:val="00C53733"/>
    <w:rsid w:val="00C63311"/>
    <w:rsid w:val="00C66EF7"/>
    <w:rsid w:val="00C67FF6"/>
    <w:rsid w:val="00C7584A"/>
    <w:rsid w:val="00C7749F"/>
    <w:rsid w:val="00C91358"/>
    <w:rsid w:val="00CB60ED"/>
    <w:rsid w:val="00CC1D9B"/>
    <w:rsid w:val="00CC6270"/>
    <w:rsid w:val="00CD1B9F"/>
    <w:rsid w:val="00CD1DEB"/>
    <w:rsid w:val="00CE1CD1"/>
    <w:rsid w:val="00CF3D57"/>
    <w:rsid w:val="00D0213D"/>
    <w:rsid w:val="00D06BA4"/>
    <w:rsid w:val="00D10035"/>
    <w:rsid w:val="00D1552C"/>
    <w:rsid w:val="00D26159"/>
    <w:rsid w:val="00D34464"/>
    <w:rsid w:val="00D466F0"/>
    <w:rsid w:val="00D56028"/>
    <w:rsid w:val="00D66AC8"/>
    <w:rsid w:val="00D75BD6"/>
    <w:rsid w:val="00D840E5"/>
    <w:rsid w:val="00D86987"/>
    <w:rsid w:val="00D9295E"/>
    <w:rsid w:val="00D97D87"/>
    <w:rsid w:val="00DA078C"/>
    <w:rsid w:val="00DA0CE0"/>
    <w:rsid w:val="00DA158A"/>
    <w:rsid w:val="00DA4A11"/>
    <w:rsid w:val="00DA57C4"/>
    <w:rsid w:val="00DB6C75"/>
    <w:rsid w:val="00DC22E9"/>
    <w:rsid w:val="00DC2EA4"/>
    <w:rsid w:val="00DD038E"/>
    <w:rsid w:val="00DE5F20"/>
    <w:rsid w:val="00DE64BE"/>
    <w:rsid w:val="00DE7BF0"/>
    <w:rsid w:val="00DF1B0A"/>
    <w:rsid w:val="00DF7021"/>
    <w:rsid w:val="00E05385"/>
    <w:rsid w:val="00E1702C"/>
    <w:rsid w:val="00E22117"/>
    <w:rsid w:val="00E27510"/>
    <w:rsid w:val="00E3595D"/>
    <w:rsid w:val="00E3750B"/>
    <w:rsid w:val="00E45ED9"/>
    <w:rsid w:val="00E46061"/>
    <w:rsid w:val="00E47482"/>
    <w:rsid w:val="00E557BE"/>
    <w:rsid w:val="00E55FF7"/>
    <w:rsid w:val="00E65E3E"/>
    <w:rsid w:val="00E66F10"/>
    <w:rsid w:val="00E81059"/>
    <w:rsid w:val="00E878F5"/>
    <w:rsid w:val="00EA2620"/>
    <w:rsid w:val="00EA44BC"/>
    <w:rsid w:val="00EB3CA5"/>
    <w:rsid w:val="00EB524F"/>
    <w:rsid w:val="00EB54B8"/>
    <w:rsid w:val="00EB7784"/>
    <w:rsid w:val="00EC2330"/>
    <w:rsid w:val="00ED56B5"/>
    <w:rsid w:val="00ED7613"/>
    <w:rsid w:val="00F1029A"/>
    <w:rsid w:val="00F130BF"/>
    <w:rsid w:val="00F13B28"/>
    <w:rsid w:val="00F17C05"/>
    <w:rsid w:val="00F30849"/>
    <w:rsid w:val="00F376CC"/>
    <w:rsid w:val="00F405C7"/>
    <w:rsid w:val="00F472BF"/>
    <w:rsid w:val="00F54D17"/>
    <w:rsid w:val="00F55122"/>
    <w:rsid w:val="00F55AA2"/>
    <w:rsid w:val="00F55CF5"/>
    <w:rsid w:val="00F575FA"/>
    <w:rsid w:val="00F821B3"/>
    <w:rsid w:val="00F8667E"/>
    <w:rsid w:val="00F87974"/>
    <w:rsid w:val="00F87EC1"/>
    <w:rsid w:val="00F91828"/>
    <w:rsid w:val="00F953AA"/>
    <w:rsid w:val="00FC2C85"/>
    <w:rsid w:val="00FD113C"/>
    <w:rsid w:val="00FD19C7"/>
    <w:rsid w:val="00FD4144"/>
    <w:rsid w:val="00FE20D1"/>
    <w:rsid w:val="00FE3611"/>
    <w:rsid w:val="00FF4561"/>
    <w:rsid w:val="062F0486"/>
    <w:rsid w:val="066B16FE"/>
    <w:rsid w:val="0E47236E"/>
    <w:rsid w:val="11EA0A3A"/>
    <w:rsid w:val="2754035E"/>
    <w:rsid w:val="291B1ADA"/>
    <w:rsid w:val="2A8235A3"/>
    <w:rsid w:val="2CF9029B"/>
    <w:rsid w:val="2EA278C2"/>
    <w:rsid w:val="33222C50"/>
    <w:rsid w:val="48DC022C"/>
    <w:rsid w:val="50E34CA0"/>
    <w:rsid w:val="55C67CBF"/>
    <w:rsid w:val="5C506CFF"/>
    <w:rsid w:val="5CA2611C"/>
    <w:rsid w:val="654E2739"/>
    <w:rsid w:val="6C7700BA"/>
    <w:rsid w:val="6F447D91"/>
    <w:rsid w:val="6FE44C91"/>
    <w:rsid w:val="717163F2"/>
    <w:rsid w:val="7737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D968D"/>
  <w15:docId w15:val="{4E4CB7EC-6915-4DB3-B614-75D35DE9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ind w:left="1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ind w:left="608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before="67"/>
      <w:ind w:left="608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a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uiPriority w:val="99"/>
    <w:qFormat/>
    <w:locked/>
    <w:rPr>
      <w:rFonts w:ascii="Times New Roman" w:hAnsi="Times New Roman" w:cs="Times New Roman"/>
      <w:kern w:val="0"/>
      <w:sz w:val="18"/>
      <w:szCs w:val="18"/>
    </w:rPr>
  </w:style>
  <w:style w:type="character" w:customStyle="1" w:styleId="10">
    <w:name w:val="标题 1 字符"/>
    <w:link w:val="1"/>
    <w:uiPriority w:val="9"/>
    <w:qFormat/>
    <w:locked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a8">
    <w:name w:val="页眉 字符"/>
    <w:link w:val="a7"/>
    <w:uiPriority w:val="99"/>
    <w:qFormat/>
    <w:locked/>
    <w:rPr>
      <w:rFonts w:ascii="Times New Roman" w:hAnsi="Times New Roman" w:cs="Times New Roman"/>
      <w:kern w:val="0"/>
      <w:sz w:val="18"/>
      <w:szCs w:val="18"/>
    </w:rPr>
  </w:style>
  <w:style w:type="character" w:customStyle="1" w:styleId="a4">
    <w:name w:val="正文文本 字符"/>
    <w:link w:val="a3"/>
    <w:uiPriority w:val="99"/>
    <w:semiHidden/>
    <w:qFormat/>
    <w:locked/>
    <w:rPr>
      <w:rFonts w:ascii="Times New Roman" w:hAnsi="Times New Roman" w:cs="Times New Roman"/>
      <w:kern w:val="0"/>
      <w:sz w:val="24"/>
      <w:szCs w:val="24"/>
    </w:rPr>
  </w:style>
  <w:style w:type="character" w:customStyle="1" w:styleId="20">
    <w:name w:val="标题 2 字符"/>
    <w:link w:val="2"/>
    <w:uiPriority w:val="9"/>
    <w:semiHidden/>
    <w:qFormat/>
    <w:locked/>
    <w:rPr>
      <w:rFonts w:ascii="等线 Light" w:eastAsia="等线 Light" w:hAnsi="等线 Light" w:cs="Times New Roman"/>
      <w:b/>
      <w:bCs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彩色列表1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A419B-3F62-40A0-8343-192A1CF9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213</Words>
  <Characters>1219</Characters>
  <Application>Microsoft Office Word</Application>
  <DocSecurity>0</DocSecurity>
  <Lines>10</Lines>
  <Paragraphs>2</Paragraphs>
  <ScaleCrop>false</ScaleCrop>
  <Company>Hewlett-Packard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“中东格局变迁背景下的土耳其历史和国家治理”</dc:title>
  <dc:creator>john</dc:creator>
  <cp:lastModifiedBy>think</cp:lastModifiedBy>
  <cp:revision>215</cp:revision>
  <dcterms:created xsi:type="dcterms:W3CDTF">2017-10-12T04:27:00Z</dcterms:created>
  <dcterms:modified xsi:type="dcterms:W3CDTF">2018-04-06T03:59:00Z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